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F51C" w14:textId="76638FD8" w:rsidR="0030596C" w:rsidRDefault="0030596C">
      <w:pPr>
        <w:rPr>
          <w:sz w:val="44"/>
          <w:szCs w:val="44"/>
        </w:rPr>
      </w:pPr>
      <w:r>
        <w:rPr>
          <w:sz w:val="44"/>
          <w:szCs w:val="44"/>
        </w:rPr>
        <w:t xml:space="preserve">I’ll conclude by saying that my short engagement looked at available data and draft proposals, but could not be expected to </w:t>
      </w:r>
      <w:proofErr w:type="gramStart"/>
      <w:r>
        <w:rPr>
          <w:sz w:val="44"/>
          <w:szCs w:val="44"/>
        </w:rPr>
        <w:t>do</w:t>
      </w:r>
      <w:proofErr w:type="gramEnd"/>
      <w:r>
        <w:rPr>
          <w:sz w:val="44"/>
          <w:szCs w:val="44"/>
        </w:rPr>
        <w:t xml:space="preserve"> an in-depth analysis of these, possibly significant (financially) issues:</w:t>
      </w:r>
    </w:p>
    <w:p w14:paraId="68C92552" w14:textId="494BF5B2" w:rsidR="0030596C" w:rsidRDefault="0030596C" w:rsidP="0030596C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Can the incremental costs of providing future SPED services by Quaboag be estimated to agreement by both parties?</w:t>
      </w:r>
    </w:p>
    <w:p w14:paraId="4054A383" w14:textId="6556073D" w:rsidR="0030596C" w:rsidRDefault="0030596C" w:rsidP="0030596C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How do DESE School Choice regulations, and other potentially volatile legal concerns, </w:t>
      </w:r>
      <w:proofErr w:type="gramStart"/>
      <w:r>
        <w:rPr>
          <w:sz w:val="44"/>
          <w:szCs w:val="44"/>
        </w:rPr>
        <w:t>impact</w:t>
      </w:r>
      <w:proofErr w:type="gramEnd"/>
      <w:r>
        <w:rPr>
          <w:sz w:val="44"/>
          <w:szCs w:val="44"/>
        </w:rPr>
        <w:t xml:space="preserve"> the district’s rights and obligations if </w:t>
      </w:r>
      <w:proofErr w:type="gramStart"/>
      <w:r>
        <w:rPr>
          <w:sz w:val="44"/>
          <w:szCs w:val="44"/>
        </w:rPr>
        <w:t>it</w:t>
      </w:r>
      <w:proofErr w:type="gramEnd"/>
      <w:r>
        <w:rPr>
          <w:sz w:val="44"/>
          <w:szCs w:val="44"/>
        </w:rPr>
        <w:t xml:space="preserve"> tuitions out its MS/HS students?</w:t>
      </w:r>
    </w:p>
    <w:p w14:paraId="2EAD2911" w14:textId="77777777" w:rsidR="0030596C" w:rsidRDefault="0030596C" w:rsidP="0030596C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Could the potential liability for employee separation costs be reasonably determined in advance of making a decision that would trigger such a liability?</w:t>
      </w:r>
    </w:p>
    <w:p w14:paraId="4AB56F95" w14:textId="77777777" w:rsidR="0030596C" w:rsidRDefault="0030596C" w:rsidP="0030596C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Should an analysis of projected costs beyond FY2027 be undertaken before proceeding?</w:t>
      </w:r>
    </w:p>
    <w:p w14:paraId="0437E25F" w14:textId="35FAB29D" w:rsidR="0030596C" w:rsidRDefault="0030596C" w:rsidP="0030596C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And lastly, what role do non-financial considerations have in the ultimate decision? </w:t>
      </w:r>
    </w:p>
    <w:p w14:paraId="50E3C71C" w14:textId="68594C34" w:rsidR="00FA3455" w:rsidRPr="00FA3455" w:rsidRDefault="00FA3455" w:rsidP="00FA3455">
      <w:pPr>
        <w:ind w:left="360"/>
        <w:rPr>
          <w:sz w:val="44"/>
          <w:szCs w:val="44"/>
        </w:rPr>
      </w:pPr>
      <w:r>
        <w:rPr>
          <w:sz w:val="44"/>
          <w:szCs w:val="44"/>
        </w:rPr>
        <w:t>Recognizing that it’s now February, I know enough about budget calendars to expect that these questions will likely need to be answered before the momentous decision to close a school is made.</w:t>
      </w:r>
    </w:p>
    <w:sectPr w:rsidR="00FA3455" w:rsidRPr="00FA3455" w:rsidSect="00FA3455">
      <w:pgSz w:w="12240" w:h="15840"/>
      <w:pgMar w:top="432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F1E00"/>
    <w:multiLevelType w:val="hybridMultilevel"/>
    <w:tmpl w:val="3EC09AAA"/>
    <w:lvl w:ilvl="0" w:tplc="0B3677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6C"/>
    <w:rsid w:val="0030596C"/>
    <w:rsid w:val="00EB26D3"/>
    <w:rsid w:val="00FA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3299"/>
  <w15:chartTrackingRefBased/>
  <w15:docId w15:val="{FFCB4353-4198-4EF5-AD23-D8D78D0F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809</Characters>
  <Application>Microsoft Office Word</Application>
  <DocSecurity>0</DocSecurity>
  <Lines>32</Lines>
  <Paragraphs>38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Verdolino</dc:creator>
  <cp:keywords/>
  <dc:description/>
  <cp:lastModifiedBy>David Verdolino</cp:lastModifiedBy>
  <cp:revision>1</cp:revision>
  <cp:lastPrinted>2026-02-03T23:29:00Z</cp:lastPrinted>
  <dcterms:created xsi:type="dcterms:W3CDTF">2026-02-03T23:16:00Z</dcterms:created>
  <dcterms:modified xsi:type="dcterms:W3CDTF">2026-02-03T23:36:00Z</dcterms:modified>
</cp:coreProperties>
</file>